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60F6" w14:textId="77777777" w:rsidR="00E45D63" w:rsidRDefault="00E45D63" w:rsidP="00E45D63">
      <w:pPr>
        <w:jc w:val="right"/>
      </w:pPr>
      <w:r w:rsidRPr="00E45D63">
        <w:t xml:space="preserve">Seletuskirja lisa </w:t>
      </w:r>
    </w:p>
    <w:p w14:paraId="242CF1A5" w14:textId="3FCE86FA" w:rsidR="00E45D63" w:rsidRPr="00E45D63" w:rsidRDefault="00E45D63" w:rsidP="00E45D63">
      <w:pPr>
        <w:jc w:val="center"/>
        <w:rPr>
          <w:b/>
          <w:bCs/>
        </w:rPr>
      </w:pPr>
      <w:r w:rsidRPr="00E45D63">
        <w:rPr>
          <w:b/>
          <w:bCs/>
        </w:rPr>
        <w:t xml:space="preserve">Kooskõlastustabel </w:t>
      </w:r>
      <w:r>
        <w:rPr>
          <w:b/>
          <w:bCs/>
        </w:rPr>
        <w:t>sotsiaalministri määrusele „</w:t>
      </w:r>
      <w:r w:rsidR="00DE149C" w:rsidRPr="00DA1961">
        <w:rPr>
          <w:b/>
          <w:bCs/>
        </w:rPr>
        <w:t xml:space="preserve">Tervisekassa </w:t>
      </w:r>
      <w:r w:rsidR="00A43045" w:rsidRPr="00DA1961">
        <w:rPr>
          <w:b/>
          <w:bCs/>
        </w:rPr>
        <w:t>meditsiiniseadmete loetelu muutmise kriteeriumid</w:t>
      </w:r>
      <w:r>
        <w:rPr>
          <w:b/>
          <w:bCs/>
        </w:rPr>
        <w:t>“</w:t>
      </w:r>
      <w:r w:rsidRPr="00E45D63">
        <w:rPr>
          <w:b/>
          <w:bCs/>
        </w:rPr>
        <w:t> </w:t>
      </w:r>
    </w:p>
    <w:p w14:paraId="7C03A2F9" w14:textId="1C7F3C61" w:rsidR="00E45D63" w:rsidRPr="00E45D63" w:rsidRDefault="00E45D63" w:rsidP="00E45D63">
      <w:pPr>
        <w:jc w:val="center"/>
        <w:rPr>
          <w:b/>
          <w:bCs/>
        </w:rPr>
      </w:pPr>
      <w:r w:rsidRPr="00E45D63">
        <w:rPr>
          <w:b/>
          <w:bCs/>
        </w:rPr>
        <w:t> </w:t>
      </w:r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8500"/>
        <w:gridCol w:w="5670"/>
      </w:tblGrid>
      <w:tr w:rsidR="00E45D63" w:rsidRPr="00E45D63" w14:paraId="2374DFEF" w14:textId="77777777" w:rsidTr="00ED0F16">
        <w:tc>
          <w:tcPr>
            <w:tcW w:w="8500" w:type="dxa"/>
          </w:tcPr>
          <w:p w14:paraId="0FA63EB4" w14:textId="252A41F3" w:rsidR="00E45D63" w:rsidRPr="00E45D63" w:rsidRDefault="00E45D63" w:rsidP="00EA5E94">
            <w:pPr>
              <w:rPr>
                <w:b/>
                <w:bCs/>
              </w:rPr>
            </w:pPr>
            <w:r w:rsidRPr="00E45D63">
              <w:rPr>
                <w:b/>
                <w:bCs/>
              </w:rPr>
              <w:t>Ravimi</w:t>
            </w:r>
            <w:r w:rsidR="00C5614C">
              <w:rPr>
                <w:b/>
                <w:bCs/>
              </w:rPr>
              <w:t>amet</w:t>
            </w:r>
          </w:p>
        </w:tc>
        <w:tc>
          <w:tcPr>
            <w:tcW w:w="5670" w:type="dxa"/>
          </w:tcPr>
          <w:p w14:paraId="77C03317" w14:textId="77777777" w:rsidR="00E45D63" w:rsidRPr="00E45D63" w:rsidRDefault="00E45D63" w:rsidP="00EA5E94">
            <w:pPr>
              <w:rPr>
                <w:b/>
                <w:bCs/>
              </w:rPr>
            </w:pPr>
            <w:r w:rsidRPr="00E45D63">
              <w:rPr>
                <w:b/>
                <w:bCs/>
              </w:rPr>
              <w:t xml:space="preserve">Sotsiaalministeeriumi vastus </w:t>
            </w:r>
          </w:p>
        </w:tc>
      </w:tr>
      <w:tr w:rsidR="00E45D63" w:rsidRPr="00E45D63" w14:paraId="3F9A2920" w14:textId="77777777" w:rsidTr="00ED0F16">
        <w:tc>
          <w:tcPr>
            <w:tcW w:w="8500" w:type="dxa"/>
          </w:tcPr>
          <w:p w14:paraId="20BF9B97" w14:textId="71C0C559" w:rsidR="00ED0F16" w:rsidRDefault="00C97484" w:rsidP="00C97484">
            <w:r w:rsidRPr="00C97484">
              <w:t xml:space="preserve">Edastame Ravimiameti arvamuse määruse muutmise eelnõule.  </w:t>
            </w:r>
          </w:p>
          <w:p w14:paraId="74F555F8" w14:textId="77777777" w:rsidR="00ED0F16" w:rsidRPr="00C97484" w:rsidRDefault="00ED0F16" w:rsidP="00C97484"/>
          <w:p w14:paraId="2F0134B3" w14:textId="77777777" w:rsidR="00C97484" w:rsidRPr="00C97484" w:rsidRDefault="00C97484" w:rsidP="00C97484">
            <w:r w:rsidRPr="00C97484">
              <w:t xml:space="preserve">Eelnõu § 1 punktis 3 teeme ettepaneku sõnastada § 2 lõige 3 järgmiselt: </w:t>
            </w:r>
          </w:p>
          <w:p w14:paraId="5C4F8BFF" w14:textId="77777777" w:rsidR="00C97484" w:rsidRPr="00C97484" w:rsidRDefault="00C97484" w:rsidP="00C97484">
            <w:r w:rsidRPr="00C97484">
              <w:t xml:space="preserve">„(3) Loetellu kantakse üksnes meditsiiniseadmete ja abivahendite andmekogus registreeritud meditsiiniseadmeid“. </w:t>
            </w:r>
          </w:p>
          <w:p w14:paraId="72BA8EB9" w14:textId="77777777" w:rsidR="00C97484" w:rsidRPr="00C97484" w:rsidRDefault="00C97484" w:rsidP="00C97484"/>
          <w:p w14:paraId="14F0C886" w14:textId="3E3BD47D" w:rsidR="00E45D63" w:rsidRPr="00E45D63" w:rsidRDefault="00C97484" w:rsidP="00C97484">
            <w:r w:rsidRPr="00C97484">
              <w:t>Kuna selle muudatuse eesmärgiks on tagada õigusselgus, mille kohaselt on meditsiiniseadme loetellu võimalik kanda üksnes meditsiiniseadmed, mis on registreeritud MSA</w:t>
            </w:r>
            <w:r w:rsidR="000E57B9">
              <w:t>-</w:t>
            </w:r>
            <w:r w:rsidRPr="00C97484">
              <w:t>s.</w:t>
            </w:r>
          </w:p>
        </w:tc>
        <w:tc>
          <w:tcPr>
            <w:tcW w:w="5670" w:type="dxa"/>
          </w:tcPr>
          <w:p w14:paraId="324DFD73" w14:textId="398900BA" w:rsidR="005A1166" w:rsidRDefault="0048481C" w:rsidP="005A1166">
            <w:r w:rsidRPr="007C5A45">
              <w:t>A</w:t>
            </w:r>
            <w:r w:rsidR="005A1166" w:rsidRPr="007C5A45">
              <w:t>rvestatud.</w:t>
            </w:r>
            <w:r w:rsidRPr="007C5A45">
              <w:t xml:space="preserve"> </w:t>
            </w:r>
            <w:r w:rsidR="00B04DD3" w:rsidRPr="007C5A45">
              <w:t>Lõike</w:t>
            </w:r>
            <w:r w:rsidR="00B04DD3">
              <w:t xml:space="preserve"> 3 sõnastust muudetud.</w:t>
            </w:r>
          </w:p>
          <w:p w14:paraId="52886082" w14:textId="0875DA96" w:rsidR="00B04DD3" w:rsidRPr="00E45D63" w:rsidRDefault="00B04DD3" w:rsidP="00B04DD3"/>
          <w:p w14:paraId="74496AFC" w14:textId="36262EA8" w:rsidR="001C3358" w:rsidRPr="00E45D63" w:rsidRDefault="001C3358" w:rsidP="00EA5E94"/>
        </w:tc>
      </w:tr>
      <w:tr w:rsidR="00E45D63" w:rsidRPr="00E45D63" w14:paraId="3A465B14" w14:textId="77777777" w:rsidTr="00ED0F16">
        <w:tc>
          <w:tcPr>
            <w:tcW w:w="8500" w:type="dxa"/>
          </w:tcPr>
          <w:p w14:paraId="66144D63" w14:textId="2412AE15" w:rsidR="00C97484" w:rsidRPr="00C97484" w:rsidRDefault="00C97484" w:rsidP="00C97484">
            <w:r w:rsidRPr="00C97484">
              <w:t xml:space="preserve">Seoses määruse jõustumisega teeme ettepaneku muuta eelnõu § 2 punkti 2 selliselt, et eelnõu § 1 punkti 7 muudatus (§ 9 lg 4) jõustuks 1. juunil 2026. a. </w:t>
            </w:r>
          </w:p>
          <w:p w14:paraId="30A9BB7F" w14:textId="16A883EF" w:rsidR="00E45D63" w:rsidRPr="00E45D63" w:rsidRDefault="00C97484" w:rsidP="00E45D63">
            <w:r w:rsidRPr="00C97484">
              <w:t>Seoses uue andmekogu kasutusele võtuga teeme ettepaneku rakendada ülemineku aega ka määruse § 9 lõikes 4 kavandatud muudatuste osas.</w:t>
            </w:r>
          </w:p>
        </w:tc>
        <w:tc>
          <w:tcPr>
            <w:tcW w:w="5670" w:type="dxa"/>
          </w:tcPr>
          <w:p w14:paraId="7A8ACF79" w14:textId="1EE2490E" w:rsidR="006B41F7" w:rsidRDefault="00A15B32" w:rsidP="00D83D8D">
            <w:r>
              <w:t>Mittea</w:t>
            </w:r>
            <w:r w:rsidR="00D83D8D" w:rsidRPr="007C5A45">
              <w:t>rvestatud.</w:t>
            </w:r>
            <w:r w:rsidR="006E1B0D" w:rsidRPr="007C5A45">
              <w:t xml:space="preserve"> </w:t>
            </w:r>
            <w:r w:rsidR="00ED0F16">
              <w:t xml:space="preserve"> </w:t>
            </w:r>
            <w:r w:rsidRPr="00A15B32">
              <w:t>Määruse § 1 punktid 8 (süvakontrolli kaotamine) tuleks jätkuvalt jõustada 01.04, et tooted saaksid tänases MSA-s kiirendatult edasi liikuda Tervisekassa soodustuse taotlemise etappi.</w:t>
            </w:r>
          </w:p>
        </w:tc>
      </w:tr>
      <w:tr w:rsidR="00302287" w:rsidRPr="00E45D63" w14:paraId="63527E83" w14:textId="77777777" w:rsidTr="00ED0F16">
        <w:tc>
          <w:tcPr>
            <w:tcW w:w="8500" w:type="dxa"/>
          </w:tcPr>
          <w:p w14:paraId="58CF2D92" w14:textId="77777777" w:rsidR="000E57B9" w:rsidRDefault="00302287" w:rsidP="00C97484">
            <w:r w:rsidRPr="00C97484">
              <w:t xml:space="preserve">Lisaks teeme ettepaneku hinnata määruse § 8 </w:t>
            </w:r>
            <w:r w:rsidR="00CE0C32">
              <w:t>punkti</w:t>
            </w:r>
            <w:r w:rsidRPr="00C97484">
              <w:t xml:space="preserve"> 2 sõnastuse asjakohasust, kuivõrd tegemist on Euroopa Parlamendi ja nõukogu määruste (EL) 2017/745 ja (EL) 2017/746 eelselt loodud sättega ning termini „standard“ kasutamine võib olla eksitav. Standard võib tähendada nii ühtseid põhimõtteid kui ka Euroopa ja rahvusvahelise standardiorganisatsiooni poolt vastu võetud standardeid. </w:t>
            </w:r>
          </w:p>
          <w:p w14:paraId="60375150" w14:textId="77777777" w:rsidR="000E57B9" w:rsidRDefault="000E57B9" w:rsidP="00C97484"/>
          <w:p w14:paraId="568F1D7C" w14:textId="1F14135B" w:rsidR="00302287" w:rsidRPr="00C97484" w:rsidRDefault="00302287" w:rsidP="00C97484">
            <w:r w:rsidRPr="00C97484">
              <w:t xml:space="preserve">Leiame, et säte sellisel kujul ei ole enam vajalik, kuna Ravimiamet praktikas kriteeriumile hinnangu andmisel sellest punktist ei lähtu ning seadme vastavuse hindamine toimub määruse § 8 punktide 1 ja 3 alusel. </w:t>
            </w:r>
          </w:p>
        </w:tc>
        <w:tc>
          <w:tcPr>
            <w:tcW w:w="5670" w:type="dxa"/>
          </w:tcPr>
          <w:p w14:paraId="4B6B02AD" w14:textId="45B5C064" w:rsidR="00302287" w:rsidRDefault="00AA6427" w:rsidP="00D83D8D">
            <w:r w:rsidRPr="007C5A45">
              <w:t xml:space="preserve">Arvestatud. </w:t>
            </w:r>
            <w:r w:rsidR="00E118F6" w:rsidRPr="007C5A45">
              <w:t>Määruse</w:t>
            </w:r>
            <w:r w:rsidR="00E118F6">
              <w:t xml:space="preserve"> § 8 punkt</w:t>
            </w:r>
            <w:r w:rsidR="00352C14">
              <w:t xml:space="preserve"> 2</w:t>
            </w:r>
            <w:r w:rsidR="00352C14" w:rsidRPr="00DA1961">
              <w:t xml:space="preserve"> tunnistatakse kehtetuks</w:t>
            </w:r>
            <w:r w:rsidR="00D52006">
              <w:t>.</w:t>
            </w:r>
          </w:p>
        </w:tc>
      </w:tr>
    </w:tbl>
    <w:p w14:paraId="614EFF26" w14:textId="77777777" w:rsidR="00ED0F16" w:rsidRDefault="00ED0F16">
      <w:r>
        <w:br w:type="page"/>
      </w:r>
    </w:p>
    <w:tbl>
      <w:tblPr>
        <w:tblStyle w:val="Kontuurtabel"/>
        <w:tblW w:w="14170" w:type="dxa"/>
        <w:tblInd w:w="-5" w:type="dxa"/>
        <w:tblLook w:val="04A0" w:firstRow="1" w:lastRow="0" w:firstColumn="1" w:lastColumn="0" w:noHBand="0" w:noVBand="1"/>
      </w:tblPr>
      <w:tblGrid>
        <w:gridCol w:w="8500"/>
        <w:gridCol w:w="5670"/>
      </w:tblGrid>
      <w:tr w:rsidR="7B613144" w14:paraId="27F46184" w14:textId="77777777" w:rsidTr="00ED0F16">
        <w:trPr>
          <w:trHeight w:val="300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D898C" w14:textId="64B8E414" w:rsidR="7B613144" w:rsidRDefault="00947493" w:rsidP="7B613144">
            <w:r>
              <w:lastRenderedPageBreak/>
              <w:br w:type="page"/>
            </w:r>
            <w:r w:rsidR="7B613144" w:rsidRPr="444A6F03">
              <w:rPr>
                <w:rFonts w:ascii="Aptos" w:eastAsia="Aptos" w:hAnsi="Aptos" w:cs="Aptos"/>
                <w:b/>
                <w:bCs/>
              </w:rPr>
              <w:t>Tervisekassa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05D51" w14:textId="65AE5689" w:rsidR="7B613144" w:rsidRDefault="7B613144" w:rsidP="7B613144">
            <w:r w:rsidRPr="444A6F03">
              <w:rPr>
                <w:rFonts w:ascii="Aptos" w:eastAsia="Aptos" w:hAnsi="Aptos" w:cs="Aptos"/>
                <w:b/>
                <w:bCs/>
              </w:rPr>
              <w:t xml:space="preserve">Sotsiaalministeeriumi vastus </w:t>
            </w:r>
          </w:p>
        </w:tc>
      </w:tr>
      <w:tr w:rsidR="7B613144" w14:paraId="78725A3B" w14:textId="77777777" w:rsidTr="00ED0F16">
        <w:trPr>
          <w:trHeight w:val="300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A0725" w14:textId="06DE4492" w:rsidR="7B613144" w:rsidRDefault="7B613144" w:rsidP="7B613144">
            <w:r w:rsidRPr="444A6F03">
              <w:rPr>
                <w:rFonts w:ascii="Aptos" w:eastAsia="Aptos" w:hAnsi="Aptos" w:cs="Aptos"/>
              </w:rPr>
              <w:t xml:space="preserve">Tervisekassa kooskõlastab eelnõu alljärgneva ettepanekuga. </w:t>
            </w:r>
          </w:p>
          <w:p w14:paraId="0F219D0C" w14:textId="4EAECBC4" w:rsidR="7B613144" w:rsidRDefault="7B613144" w:rsidP="7B613144">
            <w:r w:rsidRPr="444A6F03">
              <w:rPr>
                <w:rFonts w:ascii="Aptos" w:eastAsia="Aptos" w:hAnsi="Aptos" w:cs="Aptos"/>
              </w:rPr>
              <w:t xml:space="preserve">Eelnõu seletuskirjas on toodud, et lihtsustatud menetluses puudub vajadus tavamenetluses nõutava täismahulise teabe esitamiseks, kuna Tervisekassal on vastavad andmed juba olemas. Samas näeb eelnõu punktiga 12 sõnastatav määruse § 12² lõige 3 ette viite määruse §-dele 6 ja 7 tervikuna, mis praktikas tooks Tervisekassa hinnangul kaasa lihtsustatud menetluses põhjendamatult suure andmemahu esitamise ning ei ole täielikult kooskõlas seletuskirjas kirjeldatud eesmärgiga. </w:t>
            </w:r>
          </w:p>
          <w:p w14:paraId="592179F0" w14:textId="06DABC75" w:rsidR="7B613144" w:rsidRDefault="7B613144" w:rsidP="7B613144">
            <w:r w:rsidRPr="444A6F03">
              <w:rPr>
                <w:rFonts w:ascii="Aptos" w:eastAsia="Aptos" w:hAnsi="Aptos" w:cs="Aptos"/>
              </w:rPr>
              <w:t xml:space="preserve">Tervisekassa hinnangul on lihtsustatud menetluses põhjendatud küsida ettevõtjalt üksnes neid andmeid, mis on vältimatult vajalikud hinnangu andmiseks, eelkõige § 6 punktis 3 ning § 7 lõike 2 punktides 1 ja 2 nimetatud andmeid. Ülejäänud kriteeriumide osas on vajalik info Tervisekassal sarnaste toodete varasema rahastamise tõttu juba olemas või ei ole lihtsustatud menetluse kontekstis asjakohane. </w:t>
            </w:r>
          </w:p>
          <w:p w14:paraId="7DE5122C" w14:textId="50D5D020" w:rsidR="7B613144" w:rsidRDefault="7B613144" w:rsidP="7B613144">
            <w:r w:rsidRPr="444A6F03">
              <w:rPr>
                <w:rFonts w:ascii="Aptos" w:eastAsia="Aptos" w:hAnsi="Aptos" w:cs="Aptos"/>
              </w:rPr>
              <w:t>Seega teeme ettepaneku muuta määruse § 12² lõiget 3 ning sõnastada see järgmiselt: „(3) Ettepanekus märgitakse määruse § 4 punktis 1, § 5 punktis 1, § 6 punktis 3 ning § 7 lõike 2 punktides 1 ja 2 nimetatud kriteeriumide alusel hinnangu andmiseks vajalikud andmed.“.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2E3CD" w14:textId="2EC4A7E7" w:rsidR="7B613144" w:rsidRDefault="7B613144" w:rsidP="7B613144">
            <w:r w:rsidRPr="007C5A45">
              <w:rPr>
                <w:rFonts w:ascii="Aptos" w:eastAsia="Aptos" w:hAnsi="Aptos" w:cs="Aptos"/>
              </w:rPr>
              <w:t>Arvestatud. Muudetud</w:t>
            </w:r>
            <w:r w:rsidRPr="444A6F03">
              <w:rPr>
                <w:rFonts w:ascii="Aptos" w:eastAsia="Aptos" w:hAnsi="Aptos" w:cs="Aptos"/>
              </w:rPr>
              <w:t xml:space="preserve"> määruse § 12² lõike 3 sõnastust.</w:t>
            </w:r>
          </w:p>
        </w:tc>
      </w:tr>
      <w:tr w:rsidR="00295D0F" w14:paraId="6A74DAD2" w14:textId="77777777" w:rsidTr="00ED0F16">
        <w:trPr>
          <w:trHeight w:val="300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031AD" w14:textId="18A8A949" w:rsidR="00295D0F" w:rsidRPr="00295D0F" w:rsidRDefault="00295D0F" w:rsidP="7B613144">
            <w:pPr>
              <w:rPr>
                <w:rFonts w:ascii="Aptos" w:eastAsia="Aptos" w:hAnsi="Aptos" w:cs="Aptos"/>
                <w:b/>
                <w:bCs/>
              </w:rPr>
            </w:pPr>
            <w:r w:rsidRPr="00295D0F">
              <w:rPr>
                <w:rFonts w:ascii="Aptos" w:eastAsia="Aptos" w:hAnsi="Aptos" w:cs="Aptos"/>
                <w:b/>
                <w:bCs/>
              </w:rPr>
              <w:t>Eesti Arstide Liit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E6D52" w14:textId="70AAE816" w:rsidR="00295D0F" w:rsidRPr="444A6F03" w:rsidRDefault="00295D0F" w:rsidP="7B613144">
            <w:pPr>
              <w:rPr>
                <w:rFonts w:ascii="Aptos" w:eastAsia="Aptos" w:hAnsi="Aptos" w:cs="Aptos"/>
              </w:rPr>
            </w:pPr>
            <w:r w:rsidRPr="444A6F03">
              <w:rPr>
                <w:rFonts w:ascii="Aptos" w:eastAsia="Aptos" w:hAnsi="Aptos" w:cs="Aptos"/>
                <w:b/>
                <w:bCs/>
              </w:rPr>
              <w:t>Sotsiaalministeeriumi vastus</w:t>
            </w:r>
          </w:p>
        </w:tc>
      </w:tr>
      <w:tr w:rsidR="00295D0F" w14:paraId="429FD417" w14:textId="77777777" w:rsidTr="00ED0F16">
        <w:trPr>
          <w:trHeight w:val="300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4C83E" w14:textId="67968415" w:rsidR="00295D0F" w:rsidRPr="444A6F03" w:rsidRDefault="00295D0F" w:rsidP="7B613144">
            <w:pPr>
              <w:rPr>
                <w:rFonts w:ascii="Aptos" w:eastAsia="Aptos" w:hAnsi="Aptos" w:cs="Aptos"/>
                <w:lang w:bidi="et-EE"/>
              </w:rPr>
            </w:pPr>
            <w:r w:rsidRPr="00295D0F">
              <w:rPr>
                <w:rFonts w:ascii="Aptos" w:eastAsia="Aptos" w:hAnsi="Aptos" w:cs="Aptos"/>
                <w:lang w:bidi="et-EE"/>
              </w:rPr>
              <w:t>Meditsiiniseadme loetelus kajastamiseks peavad seadmed edaspidi olema registreeritud meditsiiniseadmete ja abivahendite andmekogus MSA. MSA vajadus ühtse registrina on arusaadav. Eelnõu võiks viidata, et meditsiiniseadmete registreerimine MSA-s kinnitab nende vastavust Euroopa Liidu meditsiiniseadmete regulatsioonile. Nõustume loetelu muutmise lihtsustatud korraga.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2BF3F" w14:textId="3D536A53" w:rsidR="00295D0F" w:rsidRPr="444A6F03" w:rsidRDefault="008E3DF3" w:rsidP="7B613144">
            <w:pPr>
              <w:rPr>
                <w:rFonts w:ascii="Aptos" w:eastAsia="Aptos" w:hAnsi="Aptos" w:cs="Aptos"/>
              </w:rPr>
            </w:pPr>
            <w:r w:rsidRPr="007C5A45">
              <w:rPr>
                <w:rFonts w:ascii="Aptos" w:eastAsia="Aptos" w:hAnsi="Aptos" w:cs="Aptos"/>
              </w:rPr>
              <w:t>Selgitame</w:t>
            </w:r>
            <w:r w:rsidR="00FB4E5B" w:rsidRPr="007C5A45">
              <w:rPr>
                <w:rFonts w:ascii="Aptos" w:eastAsia="Aptos" w:hAnsi="Aptos" w:cs="Aptos"/>
              </w:rPr>
              <w:t>.</w:t>
            </w:r>
            <w:r w:rsidR="00FB4E5B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00FB4E5B" w:rsidRPr="00FB4E5B">
              <w:rPr>
                <w:rFonts w:ascii="Aptos" w:eastAsia="Aptos" w:hAnsi="Aptos" w:cs="Aptos"/>
              </w:rPr>
              <w:t>E</w:t>
            </w:r>
            <w:r w:rsidRPr="00FB4E5B">
              <w:rPr>
                <w:rFonts w:ascii="Aptos" w:eastAsia="Aptos" w:hAnsi="Aptos" w:cs="Aptos"/>
              </w:rPr>
              <w:t>e</w:t>
            </w:r>
            <w:r w:rsidRPr="008E3DF3">
              <w:rPr>
                <w:rFonts w:ascii="Aptos" w:eastAsia="Aptos" w:hAnsi="Aptos" w:cs="Aptos"/>
              </w:rPr>
              <w:t>lnõusse ei lisata eraldi viidet vastavushindamise nõuetele, kuna need tulenevad otsekohalduvatest Euroopa Liidu määrustest (EL) 2017/745 ja 2017/746. Kehtiva õiguse järgi ei ole MSA registrikande eesmärk meditsiiniseadme vastavushindamise kinnitamine, vaid turule lubatud seadmete kohta käiva teabe haldamine. Vajaduse korral hindab Ravimiamet meditsiiniseadme vastavust EL</w:t>
            </w:r>
            <w:r w:rsidRPr="008E3DF3">
              <w:rPr>
                <w:rFonts w:ascii="Aptos" w:eastAsia="Aptos" w:hAnsi="Aptos" w:cs="Aptos"/>
              </w:rPr>
              <w:noBreakHyphen/>
              <w:t>i nõuetele määruse §</w:t>
            </w:r>
            <w:r w:rsidRPr="008E3DF3">
              <w:rPr>
                <w:rFonts w:ascii="Arial" w:eastAsia="Aptos" w:hAnsi="Arial" w:cs="Arial"/>
              </w:rPr>
              <w:t> </w:t>
            </w:r>
            <w:r w:rsidRPr="008E3DF3">
              <w:rPr>
                <w:rFonts w:ascii="Aptos" w:eastAsia="Aptos" w:hAnsi="Aptos" w:cs="Aptos"/>
              </w:rPr>
              <w:t>9 lõike 4 alusel.</w:t>
            </w:r>
          </w:p>
        </w:tc>
      </w:tr>
    </w:tbl>
    <w:p w14:paraId="76525216" w14:textId="01DEFF2E" w:rsidR="00EB00F7" w:rsidRDefault="00EB00F7" w:rsidP="00ED0F16"/>
    <w:sectPr w:rsidR="00EB00F7" w:rsidSect="002276D5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BCBA" w14:textId="77777777" w:rsidR="008D33A7" w:rsidRDefault="008D33A7" w:rsidP="00EE41F6">
      <w:pPr>
        <w:spacing w:after="0" w:line="240" w:lineRule="auto"/>
      </w:pPr>
      <w:r>
        <w:separator/>
      </w:r>
    </w:p>
  </w:endnote>
  <w:endnote w:type="continuationSeparator" w:id="0">
    <w:p w14:paraId="54EC156F" w14:textId="77777777" w:rsidR="008D33A7" w:rsidRDefault="008D33A7" w:rsidP="00EE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341335"/>
      <w:docPartObj>
        <w:docPartGallery w:val="Page Numbers (Bottom of Page)"/>
        <w:docPartUnique/>
      </w:docPartObj>
    </w:sdtPr>
    <w:sdtEndPr/>
    <w:sdtContent>
      <w:p w14:paraId="3E08F332" w14:textId="14BAD1DB" w:rsidR="00EE41F6" w:rsidRDefault="00EE41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98CFA" w14:textId="77777777" w:rsidR="00EE41F6" w:rsidRDefault="00EE41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A3EE" w14:textId="77777777" w:rsidR="008D33A7" w:rsidRDefault="008D33A7" w:rsidP="00EE41F6">
      <w:pPr>
        <w:spacing w:after="0" w:line="240" w:lineRule="auto"/>
      </w:pPr>
      <w:r>
        <w:separator/>
      </w:r>
    </w:p>
  </w:footnote>
  <w:footnote w:type="continuationSeparator" w:id="0">
    <w:p w14:paraId="5CF3000A" w14:textId="77777777" w:rsidR="008D33A7" w:rsidRDefault="008D33A7" w:rsidP="00EE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C9C"/>
    <w:multiLevelType w:val="hybridMultilevel"/>
    <w:tmpl w:val="A782ABAE"/>
    <w:lvl w:ilvl="0" w:tplc="AC585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B36"/>
    <w:multiLevelType w:val="hybridMultilevel"/>
    <w:tmpl w:val="E5A6CE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A1E94"/>
    <w:multiLevelType w:val="hybridMultilevel"/>
    <w:tmpl w:val="E5A6CE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24360">
    <w:abstractNumId w:val="0"/>
  </w:num>
  <w:num w:numId="2" w16cid:durableId="670334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242452">
    <w:abstractNumId w:val="1"/>
  </w:num>
  <w:num w:numId="4" w16cid:durableId="100467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63"/>
    <w:rsid w:val="00002B41"/>
    <w:rsid w:val="00010C0A"/>
    <w:rsid w:val="00042D40"/>
    <w:rsid w:val="000A136A"/>
    <w:rsid w:val="000A299E"/>
    <w:rsid w:val="000A32B1"/>
    <w:rsid w:val="000B37EF"/>
    <w:rsid w:val="000C107F"/>
    <w:rsid w:val="000E0B80"/>
    <w:rsid w:val="000E57B9"/>
    <w:rsid w:val="001341E1"/>
    <w:rsid w:val="0014195C"/>
    <w:rsid w:val="001C0F66"/>
    <w:rsid w:val="001C3358"/>
    <w:rsid w:val="001C6C64"/>
    <w:rsid w:val="00217CDB"/>
    <w:rsid w:val="002276D5"/>
    <w:rsid w:val="0024731B"/>
    <w:rsid w:val="00263083"/>
    <w:rsid w:val="00281948"/>
    <w:rsid w:val="00294852"/>
    <w:rsid w:val="00295D0F"/>
    <w:rsid w:val="002B4239"/>
    <w:rsid w:val="002C23FB"/>
    <w:rsid w:val="00302287"/>
    <w:rsid w:val="00335BCC"/>
    <w:rsid w:val="00352C14"/>
    <w:rsid w:val="00393047"/>
    <w:rsid w:val="003A79A4"/>
    <w:rsid w:val="003B3BDA"/>
    <w:rsid w:val="003D4352"/>
    <w:rsid w:val="003D7EB6"/>
    <w:rsid w:val="003F3D21"/>
    <w:rsid w:val="00401E22"/>
    <w:rsid w:val="00412A82"/>
    <w:rsid w:val="00440F55"/>
    <w:rsid w:val="00455C5C"/>
    <w:rsid w:val="00457A48"/>
    <w:rsid w:val="0048481C"/>
    <w:rsid w:val="004D1612"/>
    <w:rsid w:val="00505DCF"/>
    <w:rsid w:val="00516FDE"/>
    <w:rsid w:val="00553145"/>
    <w:rsid w:val="00586CB3"/>
    <w:rsid w:val="005A1166"/>
    <w:rsid w:val="005D04C6"/>
    <w:rsid w:val="005D22AA"/>
    <w:rsid w:val="00625E58"/>
    <w:rsid w:val="00641F47"/>
    <w:rsid w:val="00642133"/>
    <w:rsid w:val="0064486B"/>
    <w:rsid w:val="006801D8"/>
    <w:rsid w:val="00682E83"/>
    <w:rsid w:val="00690AE9"/>
    <w:rsid w:val="006A1473"/>
    <w:rsid w:val="006B41F7"/>
    <w:rsid w:val="006C0719"/>
    <w:rsid w:val="006D3C0F"/>
    <w:rsid w:val="006E1B0D"/>
    <w:rsid w:val="006E692D"/>
    <w:rsid w:val="006E7272"/>
    <w:rsid w:val="006F33B8"/>
    <w:rsid w:val="0075571C"/>
    <w:rsid w:val="00775EA4"/>
    <w:rsid w:val="007844AA"/>
    <w:rsid w:val="007C5A45"/>
    <w:rsid w:val="007D1FAE"/>
    <w:rsid w:val="007D276A"/>
    <w:rsid w:val="007E4134"/>
    <w:rsid w:val="00806E1C"/>
    <w:rsid w:val="00811A75"/>
    <w:rsid w:val="00845134"/>
    <w:rsid w:val="008514BE"/>
    <w:rsid w:val="00856F17"/>
    <w:rsid w:val="008A18B9"/>
    <w:rsid w:val="008A18F8"/>
    <w:rsid w:val="008B52F8"/>
    <w:rsid w:val="008C3E80"/>
    <w:rsid w:val="008C5792"/>
    <w:rsid w:val="008D33A7"/>
    <w:rsid w:val="008E3DF3"/>
    <w:rsid w:val="00910140"/>
    <w:rsid w:val="00913047"/>
    <w:rsid w:val="00927F34"/>
    <w:rsid w:val="00947493"/>
    <w:rsid w:val="00960571"/>
    <w:rsid w:val="009B00B7"/>
    <w:rsid w:val="00A04016"/>
    <w:rsid w:val="00A15B32"/>
    <w:rsid w:val="00A2007D"/>
    <w:rsid w:val="00A20682"/>
    <w:rsid w:val="00A230F1"/>
    <w:rsid w:val="00A43045"/>
    <w:rsid w:val="00A738E0"/>
    <w:rsid w:val="00AA45C4"/>
    <w:rsid w:val="00AA6427"/>
    <w:rsid w:val="00AB6EA4"/>
    <w:rsid w:val="00AC0D04"/>
    <w:rsid w:val="00AE2F3E"/>
    <w:rsid w:val="00B04DD3"/>
    <w:rsid w:val="00B1165B"/>
    <w:rsid w:val="00B27196"/>
    <w:rsid w:val="00B45DB4"/>
    <w:rsid w:val="00B56FAA"/>
    <w:rsid w:val="00B60EE6"/>
    <w:rsid w:val="00B77005"/>
    <w:rsid w:val="00B84543"/>
    <w:rsid w:val="00B85DD6"/>
    <w:rsid w:val="00B86AC7"/>
    <w:rsid w:val="00B9221D"/>
    <w:rsid w:val="00BA19D9"/>
    <w:rsid w:val="00BA1F4E"/>
    <w:rsid w:val="00BB7E3C"/>
    <w:rsid w:val="00C455EC"/>
    <w:rsid w:val="00C5614C"/>
    <w:rsid w:val="00C61B44"/>
    <w:rsid w:val="00C90854"/>
    <w:rsid w:val="00C97484"/>
    <w:rsid w:val="00CA48B1"/>
    <w:rsid w:val="00CB3F4A"/>
    <w:rsid w:val="00CD1B89"/>
    <w:rsid w:val="00CE0C32"/>
    <w:rsid w:val="00CF7B08"/>
    <w:rsid w:val="00CF7CE7"/>
    <w:rsid w:val="00D52006"/>
    <w:rsid w:val="00D52C7B"/>
    <w:rsid w:val="00D579D8"/>
    <w:rsid w:val="00D61122"/>
    <w:rsid w:val="00D76B2F"/>
    <w:rsid w:val="00D83D8D"/>
    <w:rsid w:val="00DC10B2"/>
    <w:rsid w:val="00DD0BEB"/>
    <w:rsid w:val="00DE149C"/>
    <w:rsid w:val="00E118F6"/>
    <w:rsid w:val="00E45D63"/>
    <w:rsid w:val="00E67CC1"/>
    <w:rsid w:val="00E72DCD"/>
    <w:rsid w:val="00E84B59"/>
    <w:rsid w:val="00EA7448"/>
    <w:rsid w:val="00EB00F7"/>
    <w:rsid w:val="00EB7B1C"/>
    <w:rsid w:val="00ED0F16"/>
    <w:rsid w:val="00EE41F6"/>
    <w:rsid w:val="00EF54B1"/>
    <w:rsid w:val="00EF696E"/>
    <w:rsid w:val="00F23E74"/>
    <w:rsid w:val="00F62CF1"/>
    <w:rsid w:val="00F633C5"/>
    <w:rsid w:val="00FB4E5B"/>
    <w:rsid w:val="00FE175B"/>
    <w:rsid w:val="444A6F03"/>
    <w:rsid w:val="7B6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756D"/>
  <w15:chartTrackingRefBased/>
  <w15:docId w15:val="{FF724218-2F8E-4BEE-BCE4-66C05CB8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5D6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5D6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5D6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5D6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5D6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5D6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5D6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5D6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5D6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5D6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5D6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E4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682E83"/>
    <w:rPr>
      <w:rFonts w:ascii="Times New Roman" w:hAnsi="Times New Roman" w:cs="Times New Roman"/>
    </w:rPr>
  </w:style>
  <w:style w:type="paragraph" w:styleId="Pis">
    <w:name w:val="header"/>
    <w:basedOn w:val="Normaallaad"/>
    <w:link w:val="PisMrk"/>
    <w:uiPriority w:val="99"/>
    <w:unhideWhenUsed/>
    <w:rsid w:val="00EE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E41F6"/>
  </w:style>
  <w:style w:type="paragraph" w:styleId="Jalus">
    <w:name w:val="footer"/>
    <w:basedOn w:val="Normaallaad"/>
    <w:link w:val="JalusMrk"/>
    <w:uiPriority w:val="99"/>
    <w:unhideWhenUsed/>
    <w:rsid w:val="00EE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E41F6"/>
  </w:style>
  <w:style w:type="paragraph" w:styleId="Redaktsioon">
    <w:name w:val="Revision"/>
    <w:hidden/>
    <w:uiPriority w:val="99"/>
    <w:semiHidden/>
    <w:rsid w:val="00FE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44D6C55EBC147B69C5109D61EF3B9" ma:contentTypeVersion="15" ma:contentTypeDescription="Loo uus dokument" ma:contentTypeScope="" ma:versionID="fbbaf9878b0f43a9266b78c0efa503e7">
  <xsd:schema xmlns:xsd="http://www.w3.org/2001/XMLSchema" xmlns:xs="http://www.w3.org/2001/XMLSchema" xmlns:p="http://schemas.microsoft.com/office/2006/metadata/properties" xmlns:ns2="56136fc4-d53d-4d63-8aaf-3adc12ace393" xmlns:ns3="acc346ff-2f1d-42b0-9296-ed51c0e7e446" targetNamespace="http://schemas.microsoft.com/office/2006/metadata/properties" ma:root="true" ma:fieldsID="cb90517fe58a62b73f22a0eb3b4c970d" ns2:_="" ns3:_="">
    <xsd:import namespace="56136fc4-d53d-4d63-8aaf-3adc12ace393"/>
    <xsd:import namespace="acc346ff-2f1d-42b0-9296-ed51c0e7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6fc4-d53d-4d63-8aaf-3adc12ace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46ff-2f1d-42b0-9296-ed51c0e7e4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817bb9-8ae9-48af-9a3a-51f9d6e47346}" ma:internalName="TaxCatchAll" ma:showField="CatchAllData" ma:web="acc346ff-2f1d-42b0-9296-ed51c0e7e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6fc4-d53d-4d63-8aaf-3adc12ace393">
      <Terms xmlns="http://schemas.microsoft.com/office/infopath/2007/PartnerControls"/>
    </lcf76f155ced4ddcb4097134ff3c332f>
    <TaxCatchAll xmlns="acc346ff-2f1d-42b0-9296-ed51c0e7e446" xsi:nil="true"/>
  </documentManagement>
</p:properties>
</file>

<file path=customXml/itemProps1.xml><?xml version="1.0" encoding="utf-8"?>
<ds:datastoreItem xmlns:ds="http://schemas.openxmlformats.org/officeDocument/2006/customXml" ds:itemID="{7CCF7099-8D20-4431-BC4D-B73CCBE9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36fc4-d53d-4d63-8aaf-3adc12ace393"/>
    <ds:schemaRef ds:uri="acc346ff-2f1d-42b0-9296-ed51c0e7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72AA8-3E55-45D0-9972-4E24F1E15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6423A-F2C6-49C9-94AC-DB0EBBAB022C}">
  <ds:schemaRefs>
    <ds:schemaRef ds:uri="http://schemas.microsoft.com/office/2006/metadata/properties"/>
    <ds:schemaRef ds:uri="http://schemas.microsoft.com/office/infopath/2007/PartnerControls"/>
    <ds:schemaRef ds:uri="56136fc4-d53d-4d63-8aaf-3adc12ace393"/>
    <ds:schemaRef ds:uri="acc346ff-2f1d-42b0-9296-ed51c0e7e4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Aavik - SOM</dc:creator>
  <cp:keywords/>
  <dc:description/>
  <cp:lastModifiedBy>Kristiina Aavik - SOM</cp:lastModifiedBy>
  <cp:revision>2</cp:revision>
  <dcterms:created xsi:type="dcterms:W3CDTF">2026-03-17T08:09:00Z</dcterms:created>
  <dcterms:modified xsi:type="dcterms:W3CDTF">2026-03-17T08:09:00Z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2025-09-11T07:36:55Z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1fe4a2fe-dad3-4410-b312-272e70102a47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0x010100C6944D6C55EBC147B69C5109D61EF3B9</vt:lpwstr>
  </property>
  <property fmtid="{D5CDD505-2E9C-101B-9397-08002B2CF9AE}" pid="11" name="MediaServiceImageTags">
    <vt:lpwstr/>
  </property>
</Properties>
</file>